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firstLine="0"/>
        <w:jc w:val="center"/>
        <w:textAlignment w:val="auto"/>
        <w:rPr>
          <w:rFonts w:hint="eastAsia" w:ascii="方正黑体_GBK" w:hAnsi="方正黑体_GBK" w:eastAsia="方正黑体_GBK" w:cs="方正黑体_GBK"/>
          <w:b w:val="0"/>
          <w:bCs w:val="0"/>
          <w:i w:val="0"/>
          <w:iCs w:val="0"/>
          <w:caps w:val="0"/>
          <w:color w:val="231815"/>
          <w:spacing w:val="0"/>
          <w:sz w:val="21"/>
          <w:szCs w:val="21"/>
        </w:rPr>
      </w:pPr>
      <w:r>
        <w:rPr>
          <w:rFonts w:hint="eastAsia" w:ascii="方正黑体_GBK" w:hAnsi="方正黑体_GBK" w:eastAsia="方正黑体_GBK" w:cs="方正黑体_GBK"/>
          <w:b w:val="0"/>
          <w:bCs w:val="0"/>
          <w:sz w:val="21"/>
          <w:szCs w:val="21"/>
          <w:lang w:val="en-US" w:eastAsia="zh-CN"/>
        </w:rPr>
        <w:t>江苏丰县农村商业银行股份有限公司</w:t>
      </w:r>
      <w:r>
        <w:rPr>
          <w:rFonts w:hint="eastAsia" w:ascii="方正黑体_GBK" w:hAnsi="方正黑体_GBK" w:eastAsia="方正黑体_GBK" w:cs="方正黑体_GBK"/>
          <w:b w:val="0"/>
          <w:bCs w:val="0"/>
          <w:i w:val="0"/>
          <w:iCs w:val="0"/>
          <w:caps w:val="0"/>
          <w:color w:val="231815"/>
          <w:spacing w:val="0"/>
          <w:sz w:val="21"/>
          <w:szCs w:val="21"/>
        </w:rPr>
        <w:t>202</w:t>
      </w:r>
      <w:r>
        <w:rPr>
          <w:rFonts w:hint="eastAsia" w:ascii="方正黑体_GBK" w:hAnsi="方正黑体_GBK" w:eastAsia="方正黑体_GBK" w:cs="方正黑体_GBK"/>
          <w:b w:val="0"/>
          <w:bCs w:val="0"/>
          <w:i w:val="0"/>
          <w:iCs w:val="0"/>
          <w:caps w:val="0"/>
          <w:color w:val="231815"/>
          <w:spacing w:val="0"/>
          <w:sz w:val="21"/>
          <w:szCs w:val="21"/>
          <w:lang w:val="en-US" w:eastAsia="zh-CN"/>
        </w:rPr>
        <w:t>5</w:t>
      </w:r>
      <w:r>
        <w:rPr>
          <w:rFonts w:hint="eastAsia" w:ascii="方正黑体_GBK" w:hAnsi="方正黑体_GBK" w:eastAsia="方正黑体_GBK" w:cs="方正黑体_GBK"/>
          <w:b w:val="0"/>
          <w:bCs w:val="0"/>
          <w:i w:val="0"/>
          <w:iCs w:val="0"/>
          <w:caps w:val="0"/>
          <w:color w:val="231815"/>
          <w:spacing w:val="0"/>
          <w:sz w:val="21"/>
          <w:szCs w:val="21"/>
        </w:rPr>
        <w:t>年</w:t>
      </w:r>
      <w:r>
        <w:rPr>
          <w:rFonts w:hint="eastAsia" w:ascii="方正黑体_GBK" w:hAnsi="方正黑体_GBK" w:eastAsia="方正黑体_GBK" w:cs="方正黑体_GBK"/>
          <w:b w:val="0"/>
          <w:bCs w:val="0"/>
          <w:i w:val="0"/>
          <w:iCs w:val="0"/>
          <w:caps w:val="0"/>
          <w:color w:val="231815"/>
          <w:spacing w:val="0"/>
          <w:sz w:val="21"/>
          <w:szCs w:val="21"/>
          <w:lang w:val="en-US" w:eastAsia="zh-CN"/>
        </w:rPr>
        <w:t>三季度第三支柱</w:t>
      </w:r>
      <w:r>
        <w:rPr>
          <w:rFonts w:hint="eastAsia" w:ascii="方正黑体_GBK" w:hAnsi="方正黑体_GBK" w:eastAsia="方正黑体_GBK" w:cs="方正黑体_GBK"/>
          <w:b w:val="0"/>
          <w:bCs w:val="0"/>
          <w:i w:val="0"/>
          <w:iCs w:val="0"/>
          <w:caps w:val="0"/>
          <w:color w:val="231815"/>
          <w:spacing w:val="0"/>
          <w:sz w:val="21"/>
          <w:szCs w:val="21"/>
        </w:rPr>
        <w:t>信息披露报告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20" w:lineRule="exact"/>
        <w:ind w:left="0" w:right="0"/>
        <w:jc w:val="both"/>
        <w:textAlignment w:val="auto"/>
        <w:rPr>
          <w:rFonts w:hint="eastAsia" w:ascii="微软雅黑" w:hAnsi="微软雅黑" w:eastAsia="微软雅黑" w:cs="微软雅黑"/>
          <w:i w:val="0"/>
          <w:iCs w:val="0"/>
          <w:caps w:val="0"/>
          <w:color w:val="555555"/>
          <w:spacing w:val="0"/>
          <w:sz w:val="21"/>
          <w:szCs w:val="21"/>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i w:val="0"/>
          <w:iCs w:val="0"/>
          <w:caps w:val="0"/>
          <w:color w:val="555555"/>
          <w:spacing w:val="0"/>
          <w:sz w:val="21"/>
          <w:szCs w:val="21"/>
        </w:rPr>
      </w:pPr>
      <w:r>
        <w:rPr>
          <w:rFonts w:hint="eastAsia" w:ascii="微软雅黑" w:hAnsi="微软雅黑" w:eastAsia="微软雅黑" w:cs="微软雅黑"/>
          <w:i w:val="0"/>
          <w:iCs w:val="0"/>
          <w:caps w:val="0"/>
          <w:color w:val="555555"/>
          <w:spacing w:val="0"/>
          <w:sz w:val="21"/>
          <w:szCs w:val="21"/>
        </w:rPr>
        <w:t>       根据《商业银行资本管理办法》（以下简称“办法”）附件22《商业银行信息披露内容和要求》的规定，本公司</w:t>
      </w:r>
      <w:r>
        <w:rPr>
          <w:rFonts w:hint="eastAsia" w:ascii="微软雅黑" w:hAnsi="微软雅黑" w:eastAsia="微软雅黑" w:cs="微软雅黑"/>
          <w:i w:val="0"/>
          <w:iCs w:val="0"/>
          <w:caps w:val="0"/>
          <w:color w:val="555555"/>
          <w:spacing w:val="0"/>
          <w:sz w:val="21"/>
          <w:szCs w:val="21"/>
          <w:lang w:val="en-US" w:eastAsia="zh-CN"/>
        </w:rPr>
        <w:t>现</w:t>
      </w:r>
      <w:r>
        <w:rPr>
          <w:rFonts w:hint="eastAsia" w:ascii="微软雅黑" w:hAnsi="微软雅黑" w:eastAsia="微软雅黑" w:cs="微软雅黑"/>
          <w:i w:val="0"/>
          <w:iCs w:val="0"/>
          <w:caps w:val="0"/>
          <w:color w:val="555555"/>
          <w:spacing w:val="0"/>
          <w:sz w:val="21"/>
          <w:szCs w:val="21"/>
        </w:rPr>
        <w:t>向投资者和社会公众披露相关信息。本</w:t>
      </w:r>
      <w:r>
        <w:rPr>
          <w:rFonts w:hint="eastAsia" w:ascii="微软雅黑" w:hAnsi="微软雅黑" w:eastAsia="微软雅黑" w:cs="微软雅黑"/>
          <w:i w:val="0"/>
          <w:iCs w:val="0"/>
          <w:caps w:val="0"/>
          <w:color w:val="555555"/>
          <w:spacing w:val="0"/>
          <w:sz w:val="21"/>
          <w:szCs w:val="21"/>
          <w:lang w:val="en-US" w:eastAsia="zh-CN"/>
        </w:rPr>
        <w:t>次</w:t>
      </w:r>
      <w:r>
        <w:rPr>
          <w:rFonts w:hint="eastAsia" w:ascii="微软雅黑" w:hAnsi="微软雅黑" w:eastAsia="微软雅黑" w:cs="微软雅黑"/>
          <w:i w:val="0"/>
          <w:iCs w:val="0"/>
          <w:caps w:val="0"/>
          <w:color w:val="555555"/>
          <w:spacing w:val="0"/>
          <w:sz w:val="21"/>
          <w:szCs w:val="21"/>
        </w:rPr>
        <w:t>需披露的报表如下:</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i w:val="0"/>
          <w:iCs w:val="0"/>
          <w:caps w:val="0"/>
          <w:color w:val="555555"/>
          <w:spacing w:val="0"/>
          <w:sz w:val="21"/>
          <w:szCs w:val="21"/>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14" w:lineRule="atLeast"/>
        <w:ind w:left="170" w:right="0"/>
        <w:jc w:val="both"/>
        <w:textAlignment w:val="auto"/>
        <w:rPr>
          <w:rFonts w:hint="eastAsia" w:ascii="微软雅黑" w:hAnsi="微软雅黑" w:eastAsia="微软雅黑" w:cs="微软雅黑"/>
          <w:i w:val="0"/>
          <w:iCs w:val="0"/>
          <w:caps w:val="0"/>
          <w:color w:val="555555"/>
          <w:spacing w:val="0"/>
          <w:sz w:val="15"/>
          <w:szCs w:val="15"/>
        </w:rPr>
      </w:pPr>
      <w:r>
        <w:rPr>
          <w:rFonts w:hint="eastAsia" w:ascii="微软雅黑" w:hAnsi="微软雅黑" w:eastAsia="微软雅黑" w:cs="微软雅黑"/>
          <w:i w:val="0"/>
          <w:iCs w:val="0"/>
          <w:caps w:val="0"/>
          <w:color w:val="555555"/>
          <w:spacing w:val="0"/>
          <w:sz w:val="15"/>
          <w:szCs w:val="15"/>
        </w:rPr>
        <w:t>KM1监管并表关键审慎监管指标                     </w:t>
      </w:r>
      <w:r>
        <w:rPr>
          <w:rFonts w:hint="eastAsia" w:ascii="微软雅黑" w:hAnsi="微软雅黑" w:eastAsia="微软雅黑" w:cs="微软雅黑"/>
          <w:i w:val="0"/>
          <w:iCs w:val="0"/>
          <w:caps w:val="0"/>
          <w:color w:val="555555"/>
          <w:spacing w:val="0"/>
          <w:sz w:val="15"/>
          <w:szCs w:val="15"/>
          <w:lang w:val="en-US" w:eastAsia="zh-CN"/>
        </w:rPr>
        <w:t xml:space="preserve">                                      </w:t>
      </w:r>
      <w:bookmarkStart w:id="0" w:name="_GoBack"/>
      <w:bookmarkEnd w:id="0"/>
      <w:r>
        <w:rPr>
          <w:rFonts w:hint="eastAsia" w:ascii="微软雅黑" w:hAnsi="微软雅黑" w:eastAsia="微软雅黑" w:cs="微软雅黑"/>
          <w:i w:val="0"/>
          <w:iCs w:val="0"/>
          <w:caps w:val="0"/>
          <w:color w:val="555555"/>
          <w:spacing w:val="0"/>
          <w:sz w:val="15"/>
          <w:szCs w:val="15"/>
        </w:rPr>
        <w:t>单位：人民币万元、%</w:t>
      </w:r>
    </w:p>
    <w:tbl>
      <w:tblPr>
        <w:tblStyle w:val="4"/>
        <w:tblpPr w:leftFromText="181" w:rightFromText="181" w:vertAnchor="text" w:horzAnchor="page" w:tblpX="1384" w:tblpY="103"/>
        <w:tblOverlap w:val="never"/>
        <w:tblW w:w="953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4"/>
        <w:gridCol w:w="1106"/>
        <w:gridCol w:w="1658"/>
        <w:gridCol w:w="1642"/>
        <w:gridCol w:w="1594"/>
        <w:gridCol w:w="1674"/>
        <w:gridCol w:w="159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1" w:hRule="atLeast"/>
        </w:trPr>
        <w:tc>
          <w:tcPr>
            <w:tcW w:w="13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等线" w:eastAsia="仿宋_GB2312" w:cs="仿宋_GB2312"/>
                <w:i w:val="0"/>
                <w:iCs w:val="0"/>
                <w:color w:val="000000"/>
                <w:sz w:val="18"/>
                <w:szCs w:val="18"/>
                <w:u w:val="none"/>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a</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b</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c</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d</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3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_GB2312" w:hAnsi="等线" w:eastAsia="仿宋_GB2312" w:cs="仿宋_GB2312"/>
                <w:i w:val="0"/>
                <w:iCs w:val="0"/>
                <w:color w:val="000000"/>
                <w:sz w:val="18"/>
                <w:szCs w:val="18"/>
                <w:u w:val="none"/>
              </w:rPr>
            </w:pP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2025年9月30日</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2025年6月30日</w:t>
            </w:r>
          </w:p>
        </w:tc>
        <w:tc>
          <w:tcPr>
            <w:tcW w:w="159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2025年3月31日</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2024年12月31日</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2024年9月30日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可用资本（数额）</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核心一级资本净额</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189802.66</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191105.89</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183973.56</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179328.72</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180953.08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一级资本净额</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189802.66</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191105.89</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183973.56</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179328.72</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180953.08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3</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资本净额</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209482.04</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210511.98</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203276.73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197588.75</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199392.45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风险加权资产（数额）</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4</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风险加权资产</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1711924.57</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1689787.61</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1681451.3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1596956.86</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1611285.4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资本充足率</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核心一级资本充足率（%）</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11.09</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11.31</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10.94</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11.23</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6</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一级资本充足率（%）</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11.09</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11.31</w:t>
            </w:r>
          </w:p>
        </w:tc>
        <w:tc>
          <w:tcPr>
            <w:tcW w:w="159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10.94</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11.23</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7</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资本充足率（%）</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12.44</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12.46</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12.09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12.37</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其他各级资本要求</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8</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储备资本要求（%）</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2.5</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2.5</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9</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逆周期资本要求（%）</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0</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0</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0</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0</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10</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全球系统重要性银行或国内系统重要性银行附加资本要求（%）</w:t>
            </w:r>
          </w:p>
        </w:tc>
        <w:tc>
          <w:tcPr>
            <w:tcW w:w="1658"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其他各级资本要求（%）（8+9+10）</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2.5</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2.5</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9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12</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满足最低资本要求后的可用核心一级资本净额占风险加权资产的比例（%）</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4.24</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4.46</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4.09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5.22</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杠杆率</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13</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调整后表内外资产余额</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3481525.46</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3377781.79</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3391731.01</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3194391.35</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3203181.52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14</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杠杆率（%）</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5.45</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5.53</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5.42</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5.61</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14a</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杠杆率a（%）</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5.45</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5.53</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5.42</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5.61</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5.65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流动性覆盖率</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15</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合格优质流动性资产</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16</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现金净流出量</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17</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流动性覆盖率（%）</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9D9D9"/>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净稳定资金比例</w:t>
            </w:r>
          </w:p>
        </w:tc>
        <w:tc>
          <w:tcPr>
            <w:tcW w:w="1642"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9D9D9"/>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18</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可用稳定资金合计</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19</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所需稳定资金合计</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20</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净稳定资金比例（%）</w:t>
            </w:r>
          </w:p>
        </w:tc>
        <w:tc>
          <w:tcPr>
            <w:tcW w:w="16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6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不适用</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3028" w:type="dxa"/>
            <w:gridSpan w:val="3"/>
            <w:tcBorders>
              <w:top w:val="single" w:color="000000" w:sz="4" w:space="0"/>
              <w:left w:val="single" w:color="000000" w:sz="4" w:space="0"/>
              <w:bottom w:val="single" w:color="000000" w:sz="4" w:space="0"/>
              <w:right w:val="single" w:color="000000" w:sz="4" w:space="0"/>
            </w:tcBorders>
            <w:shd w:val="clear" w:color="auto" w:fill="D8D8D8"/>
            <w:vAlign w:val="center"/>
          </w:tcPr>
          <w:p>
            <w:pPr>
              <w:keepNext w:val="0"/>
              <w:keepLines w:val="0"/>
              <w:widowControl/>
              <w:suppressLineNumbers w:val="0"/>
              <w:jc w:val="left"/>
              <w:textAlignment w:val="center"/>
              <w:rPr>
                <w:rFonts w:hint="eastAsia" w:ascii="仿宋_GB2312" w:hAnsi="等线" w:eastAsia="仿宋_GB2312" w:cs="仿宋_GB2312"/>
                <w:b/>
                <w:bCs/>
                <w:i w:val="0"/>
                <w:iCs w:val="0"/>
                <w:color w:val="000000"/>
                <w:sz w:val="18"/>
                <w:szCs w:val="18"/>
                <w:u w:val="none"/>
              </w:rPr>
            </w:pPr>
            <w:r>
              <w:rPr>
                <w:rFonts w:hint="eastAsia" w:ascii="仿宋_GB2312" w:hAnsi="等线" w:eastAsia="仿宋_GB2312" w:cs="仿宋_GB2312"/>
                <w:b/>
                <w:bCs/>
                <w:i w:val="0"/>
                <w:iCs w:val="0"/>
                <w:color w:val="000000"/>
                <w:kern w:val="0"/>
                <w:sz w:val="18"/>
                <w:szCs w:val="18"/>
                <w:u w:val="none"/>
                <w:lang w:val="en-US" w:eastAsia="zh-CN" w:bidi="ar"/>
              </w:rPr>
              <w:t>流动性比例</w:t>
            </w:r>
          </w:p>
        </w:tc>
        <w:tc>
          <w:tcPr>
            <w:tcW w:w="1642" w:type="dxa"/>
            <w:tcBorders>
              <w:top w:val="single" w:color="000000" w:sz="4" w:space="0"/>
              <w:left w:val="single" w:color="000000" w:sz="4" w:space="0"/>
              <w:bottom w:val="single" w:color="000000" w:sz="4" w:space="0"/>
              <w:right w:val="single" w:color="000000" w:sz="4" w:space="0"/>
            </w:tcBorders>
            <w:shd w:val="clear" w:color="auto" w:fill="D8D8D8"/>
            <w:vAlign w:val="center"/>
          </w:tcPr>
          <w:p>
            <w:pPr>
              <w:jc w:val="left"/>
              <w:rPr>
                <w:rFonts w:hint="eastAsia" w:ascii="仿宋_GB2312" w:hAnsi="等线" w:eastAsia="仿宋_GB2312" w:cs="仿宋_GB2312"/>
                <w:b/>
                <w:bCs/>
                <w:i w:val="0"/>
                <w:iCs w:val="0"/>
                <w:color w:val="000000"/>
                <w:sz w:val="18"/>
                <w:szCs w:val="18"/>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D8D8D8"/>
            <w:vAlign w:val="center"/>
          </w:tcPr>
          <w:p>
            <w:pPr>
              <w:jc w:val="center"/>
              <w:rPr>
                <w:rFonts w:hint="eastAsia" w:ascii="仿宋_GB2312" w:hAnsi="等线" w:eastAsia="仿宋_GB2312" w:cs="仿宋_GB2312"/>
                <w:b/>
                <w:bCs/>
                <w:i w:val="0"/>
                <w:iCs w:val="0"/>
                <w:color w:val="555555"/>
                <w:sz w:val="18"/>
                <w:szCs w:val="18"/>
                <w:u w:val="none"/>
              </w:rPr>
            </w:pPr>
          </w:p>
        </w:tc>
        <w:tc>
          <w:tcPr>
            <w:tcW w:w="1674" w:type="dxa"/>
            <w:tcBorders>
              <w:top w:val="single" w:color="000000" w:sz="4" w:space="0"/>
              <w:left w:val="single" w:color="000000" w:sz="4" w:space="0"/>
              <w:bottom w:val="single" w:color="000000" w:sz="4" w:space="0"/>
              <w:right w:val="single" w:color="000000" w:sz="4" w:space="0"/>
            </w:tcBorders>
            <w:shd w:val="clear" w:color="auto" w:fill="D8D8D8"/>
            <w:vAlign w:val="center"/>
          </w:tcPr>
          <w:p>
            <w:pPr>
              <w:jc w:val="center"/>
              <w:rPr>
                <w:rFonts w:hint="eastAsia" w:ascii="仿宋_GB2312" w:hAnsi="等线" w:eastAsia="仿宋_GB2312" w:cs="仿宋_GB2312"/>
                <w:b/>
                <w:bCs/>
                <w:i w:val="0"/>
                <w:iCs w:val="0"/>
                <w:color w:val="555555"/>
                <w:sz w:val="18"/>
                <w:szCs w:val="18"/>
                <w:u w:val="none"/>
              </w:rPr>
            </w:pPr>
          </w:p>
        </w:tc>
        <w:tc>
          <w:tcPr>
            <w:tcW w:w="1595" w:type="dxa"/>
            <w:tcBorders>
              <w:top w:val="single" w:color="000000" w:sz="4" w:space="0"/>
              <w:left w:val="single" w:color="000000" w:sz="4" w:space="0"/>
              <w:bottom w:val="single" w:color="000000" w:sz="4" w:space="0"/>
              <w:right w:val="single" w:color="000000" w:sz="4" w:space="0"/>
            </w:tcBorders>
            <w:shd w:val="clear" w:color="auto" w:fill="D8D8D8"/>
            <w:vAlign w:val="center"/>
          </w:tcPr>
          <w:p>
            <w:pPr>
              <w:jc w:val="center"/>
              <w:rPr>
                <w:rFonts w:hint="eastAsia" w:ascii="仿宋_GB2312" w:hAnsi="等线" w:eastAsia="仿宋_GB2312" w:cs="仿宋_GB2312"/>
                <w:b/>
                <w:bCs/>
                <w:i w:val="0"/>
                <w:iCs w:val="0"/>
                <w:color w:val="555555"/>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2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21</w:t>
            </w:r>
          </w:p>
        </w:tc>
        <w:tc>
          <w:tcPr>
            <w:tcW w:w="1106"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流动性比例（%）</w:t>
            </w:r>
          </w:p>
        </w:tc>
        <w:tc>
          <w:tcPr>
            <w:tcW w:w="165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117.44</w:t>
            </w:r>
          </w:p>
        </w:tc>
        <w:tc>
          <w:tcPr>
            <w:tcW w:w="1642"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000000"/>
                <w:sz w:val="18"/>
                <w:szCs w:val="18"/>
                <w:u w:val="none"/>
              </w:rPr>
            </w:pPr>
            <w:r>
              <w:rPr>
                <w:rFonts w:hint="eastAsia" w:ascii="仿宋_GB2312" w:hAnsi="等线" w:eastAsia="仿宋_GB2312" w:cs="仿宋_GB2312"/>
                <w:i w:val="0"/>
                <w:iCs w:val="0"/>
                <w:color w:val="000000"/>
                <w:kern w:val="0"/>
                <w:sz w:val="18"/>
                <w:szCs w:val="18"/>
                <w:u w:val="none"/>
                <w:lang w:val="en-US" w:eastAsia="zh-CN" w:bidi="ar"/>
              </w:rPr>
              <w:t>121.93</w:t>
            </w: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111.05</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89.43</w:t>
            </w:r>
          </w:p>
        </w:tc>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等线" w:eastAsia="仿宋_GB2312" w:cs="仿宋_GB2312"/>
                <w:i w:val="0"/>
                <w:iCs w:val="0"/>
                <w:color w:val="555555"/>
                <w:sz w:val="18"/>
                <w:szCs w:val="18"/>
                <w:u w:val="none"/>
              </w:rPr>
            </w:pPr>
            <w:r>
              <w:rPr>
                <w:rFonts w:hint="eastAsia" w:ascii="仿宋_GB2312" w:hAnsi="等线" w:eastAsia="仿宋_GB2312" w:cs="仿宋_GB2312"/>
                <w:i w:val="0"/>
                <w:iCs w:val="0"/>
                <w:color w:val="555555"/>
                <w:kern w:val="0"/>
                <w:sz w:val="18"/>
                <w:szCs w:val="18"/>
                <w:u w:val="none"/>
                <w:lang w:val="en-US" w:eastAsia="zh-CN" w:bidi="ar"/>
              </w:rPr>
              <w:t>93.46</w:t>
            </w:r>
          </w:p>
        </w:tc>
      </w:tr>
    </w:tbl>
    <w:p>
      <w:pPr>
        <w:rPr>
          <w:rFonts w:hint="default" w:ascii="微软雅黑" w:hAnsi="微软雅黑" w:eastAsia="微软雅黑" w:cs="微软雅黑"/>
          <w:i w:val="0"/>
          <w:iCs w:val="0"/>
          <w:caps w:val="0"/>
          <w:color w:val="555555"/>
          <w:spacing w:val="0"/>
          <w:sz w:val="21"/>
          <w:szCs w:val="2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C3C5C"/>
    <w:rsid w:val="168730F8"/>
    <w:rsid w:val="19495F3B"/>
    <w:rsid w:val="204A4BD5"/>
    <w:rsid w:val="20783373"/>
    <w:rsid w:val="266B22BA"/>
    <w:rsid w:val="2728041D"/>
    <w:rsid w:val="299E64DF"/>
    <w:rsid w:val="3097759B"/>
    <w:rsid w:val="45A85F6B"/>
    <w:rsid w:val="4644618C"/>
    <w:rsid w:val="48A45A86"/>
    <w:rsid w:val="4C780619"/>
    <w:rsid w:val="4D804334"/>
    <w:rsid w:val="55F435C2"/>
    <w:rsid w:val="64702B83"/>
    <w:rsid w:val="67942AA2"/>
    <w:rsid w:val="74443D80"/>
    <w:rsid w:val="799457D1"/>
    <w:rsid w:val="7BB757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font01"/>
    <w:basedOn w:val="5"/>
    <w:qFormat/>
    <w:uiPriority w:val="0"/>
    <w:rPr>
      <w:rFonts w:hint="eastAsia" w:ascii="仿宋_GB2312" w:eastAsia="仿宋_GB2312" w:cs="仿宋_GB2312"/>
      <w:color w:val="000000"/>
      <w:sz w:val="12"/>
      <w:szCs w:val="12"/>
      <w:u w:val="none"/>
    </w:rPr>
  </w:style>
  <w:style w:type="character" w:customStyle="1" w:styleId="7">
    <w:name w:val="font51"/>
    <w:basedOn w:val="5"/>
    <w:qFormat/>
    <w:uiPriority w:val="0"/>
    <w:rPr>
      <w:rFonts w:hint="eastAsia" w:ascii="微软雅黑" w:hAnsi="微软雅黑" w:eastAsia="微软雅黑" w:cs="微软雅黑"/>
      <w:color w:val="000000"/>
      <w:sz w:val="12"/>
      <w:szCs w:val="12"/>
      <w:u w:val="none"/>
    </w:rPr>
  </w:style>
  <w:style w:type="character" w:customStyle="1" w:styleId="8">
    <w:name w:val="font31"/>
    <w:basedOn w:val="5"/>
    <w:qFormat/>
    <w:uiPriority w:val="0"/>
    <w:rPr>
      <w:rFonts w:hint="eastAsia" w:ascii="微软雅黑" w:hAnsi="微软雅黑" w:eastAsia="微软雅黑" w:cs="微软雅黑"/>
      <w:color w:val="000000"/>
      <w:sz w:val="12"/>
      <w:szCs w:val="12"/>
      <w:u w:val="none"/>
    </w:rPr>
  </w:style>
  <w:style w:type="character" w:customStyle="1" w:styleId="9">
    <w:name w:val="font41"/>
    <w:basedOn w:val="5"/>
    <w:qFormat/>
    <w:uiPriority w:val="0"/>
    <w:rPr>
      <w:rFonts w:hint="eastAsia" w:ascii="微软雅黑" w:hAnsi="微软雅黑" w:eastAsia="微软雅黑" w:cs="微软雅黑"/>
      <w:color w:val="000000"/>
      <w:sz w:val="12"/>
      <w:szCs w:val="1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2024-07-24T02:02:00Z</dcterms:created>
  <dc:creator>Administrator</dc:creator>
  <cp:lastModifiedBy>王为飞</cp:lastModifiedBy>
  <cp:lastPrinted>2024-07-24T08:29:00Z</cp:lastPrinted>
  <dcterms:modified xsi:type="dcterms:W3CDTF">2025-10-21T09:04:01Z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56AD1E81001A40218E14ED050BAA834E</vt:lpwstr>
  </property>
</Properties>
</file>