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丰县农村商业银行股份有限公司办公大楼网络采购项目招标公告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根据我行业务需求，现拟启动</w:t>
      </w:r>
      <w:r>
        <w:rPr>
          <w:rFonts w:hint="eastAsia" w:ascii="宋体" w:hAnsi="宋体" w:eastAsia="宋体" w:cs="宋体"/>
          <w:sz w:val="24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highlight w:val="yellow"/>
          <w:u w:val="single"/>
        </w:rPr>
        <w:t>办公大楼网络采购</w:t>
      </w:r>
      <w:r>
        <w:rPr>
          <w:rFonts w:hint="eastAsia" w:ascii="宋体" w:hAnsi="宋体" w:eastAsia="宋体" w:cs="宋体"/>
          <w:sz w:val="24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</w:rPr>
        <w:t>项目。凡符合本公告要求的企业均可自愿报名，并提交相关证明文件和材料。具体情况如下:</w:t>
      </w:r>
    </w:p>
    <w:p>
      <w:pPr>
        <w:numPr>
          <w:ilvl w:val="0"/>
          <w:numId w:val="3"/>
        </w:num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项目需求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本次项目将建设办公大楼网络系统，主要用于与办公大楼内的有关生产用机连接，包括楼层接入汇聚交换机和楼层交换机，汇聚后接入核心网络交换机。</w:t>
      </w:r>
    </w:p>
    <w:p>
      <w:pPr>
        <w:numPr>
          <w:ilvl w:val="0"/>
          <w:numId w:val="3"/>
        </w:num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资格条件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中华人民共和国境内注册的企业法人，具有独立签订合同的权利和良好履行合同的能力，企业财务状况良好，注册资金大于500万；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有能力提供招标项目要求的技术及服务，具有良好商业信誉，且未被“信用中国”网站(www.creditchina.gov.cn)列入失信执行人、重大税收违法案件当事人名单、政府采购严重违法失信行为记录名单；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投标人需具各完善的服务支持和服务体系，具有能长期支持和优质售后服务的能力，投标人需针对本项目的服务做详细说明；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投标人需提供原厂商（华为）出具的关于本项目的授权书，所有产品需包含原厂软、硬件质保服务；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本项目不接受联合体资格审查申请；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本项目不得以任何形式进行转包；</w:t>
      </w: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投标人须从招标人获得招标文件并登记备案，否则不能参加本次项目的竟争。</w:t>
      </w:r>
    </w:p>
    <w:p>
      <w:pPr>
        <w:numPr>
          <w:ilvl w:val="0"/>
          <w:numId w:val="3"/>
        </w:num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服务要求 </w:t>
      </w:r>
    </w:p>
    <w:p>
      <w:pPr>
        <w:ind w:left="42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现场安装调试，并提供叁年保修服务</w:t>
      </w:r>
    </w:p>
    <w:p>
      <w:pPr>
        <w:numPr>
          <w:ilvl w:val="0"/>
          <w:numId w:val="3"/>
        </w:num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投标文件组成</w:t>
      </w:r>
    </w:p>
    <w:p>
      <w:pPr>
        <w:pStyle w:val="9"/>
        <w:numPr>
          <w:ilvl w:val="0"/>
          <w:numId w:val="5"/>
        </w:numPr>
        <w:ind w:firstLineChars="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投标报价表</w:t>
      </w:r>
    </w:p>
    <w:p>
      <w:pPr>
        <w:pStyle w:val="9"/>
        <w:numPr>
          <w:ilvl w:val="0"/>
          <w:numId w:val="5"/>
        </w:numPr>
        <w:ind w:firstLineChars="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投标人综合资质</w:t>
      </w:r>
    </w:p>
    <w:p>
      <w:pPr>
        <w:pStyle w:val="9"/>
        <w:numPr>
          <w:ilvl w:val="0"/>
          <w:numId w:val="5"/>
        </w:numPr>
        <w:ind w:firstLineChars="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设备原厂商（华为）针对本项目提供的授权函</w:t>
      </w:r>
    </w:p>
    <w:p>
      <w:pPr>
        <w:pStyle w:val="9"/>
        <w:numPr>
          <w:ilvl w:val="0"/>
          <w:numId w:val="5"/>
        </w:numPr>
        <w:ind w:firstLineChars="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投标人近五年来在江苏省农信系统做过的类似项目案例</w:t>
      </w:r>
    </w:p>
    <w:p>
      <w:pPr>
        <w:pStyle w:val="9"/>
        <w:numPr>
          <w:ilvl w:val="0"/>
          <w:numId w:val="5"/>
        </w:numPr>
        <w:ind w:firstLineChars="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项目实施和售后技术服务能力说明</w:t>
      </w:r>
    </w:p>
    <w:p>
      <w:pPr>
        <w:numPr>
          <w:ilvl w:val="0"/>
          <w:numId w:val="3"/>
        </w:num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获取招标文件</w:t>
      </w:r>
    </w:p>
    <w:p>
      <w:pPr>
        <w:numPr>
          <w:ilvl w:val="0"/>
          <w:numId w:val="6"/>
        </w:num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采购文件获取时间：2</w:t>
      </w:r>
      <w:r>
        <w:rPr>
          <w:rFonts w:ascii="宋体" w:hAnsi="宋体" w:eastAsia="宋体" w:cs="宋体"/>
          <w:sz w:val="24"/>
        </w:rPr>
        <w:t>023</w:t>
      </w:r>
      <w:r>
        <w:rPr>
          <w:rFonts w:hint="eastAsia" w:ascii="宋体" w:hAnsi="宋体" w:eastAsia="宋体" w:cs="宋体"/>
          <w:sz w:val="24"/>
        </w:rPr>
        <w:t>年9月</w:t>
      </w:r>
      <w:r>
        <w:rPr>
          <w:rFonts w:hint="eastAsia" w:ascii="宋体" w:hAnsi="宋体" w:eastAsia="宋体" w:cs="宋体"/>
          <w:sz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</w:rPr>
        <w:t>日9:</w:t>
      </w:r>
      <w:r>
        <w:rPr>
          <w:rFonts w:ascii="宋体" w:hAnsi="宋体" w:eastAsia="宋体" w:cs="宋体"/>
          <w:sz w:val="24"/>
        </w:rPr>
        <w:t>00</w:t>
      </w:r>
      <w:r>
        <w:rPr>
          <w:rFonts w:hint="eastAsia" w:ascii="宋体" w:hAnsi="宋体" w:eastAsia="宋体" w:cs="宋体"/>
          <w:sz w:val="24"/>
        </w:rPr>
        <w:t>至2</w:t>
      </w:r>
      <w:r>
        <w:rPr>
          <w:rFonts w:ascii="宋体" w:hAnsi="宋体" w:eastAsia="宋体" w:cs="宋体"/>
          <w:sz w:val="24"/>
        </w:rPr>
        <w:t>023</w:t>
      </w:r>
      <w:r>
        <w:rPr>
          <w:rFonts w:hint="eastAsia" w:ascii="宋体" w:hAnsi="宋体" w:eastAsia="宋体" w:cs="宋体"/>
          <w:sz w:val="24"/>
        </w:rPr>
        <w:t>年9月1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</w:rPr>
        <w:t>日1</w:t>
      </w:r>
      <w:r>
        <w:rPr>
          <w:rFonts w:ascii="宋体" w:hAnsi="宋体" w:eastAsia="宋体" w:cs="宋体"/>
          <w:sz w:val="24"/>
        </w:rPr>
        <w:t>7</w:t>
      </w:r>
      <w:r>
        <w:rPr>
          <w:rFonts w:hint="eastAsia" w:ascii="宋体" w:hAnsi="宋体" w:eastAsia="宋体" w:cs="宋体"/>
          <w:sz w:val="24"/>
        </w:rPr>
        <w:t>:</w:t>
      </w:r>
      <w:r>
        <w:rPr>
          <w:rFonts w:ascii="宋体" w:hAnsi="宋体" w:eastAsia="宋体" w:cs="宋体"/>
          <w:sz w:val="24"/>
        </w:rPr>
        <w:t>00</w:t>
      </w:r>
      <w:r>
        <w:rPr>
          <w:rFonts w:hint="eastAsia" w:ascii="宋体" w:hAnsi="宋体" w:eastAsia="宋体" w:cs="宋体"/>
          <w:sz w:val="24"/>
        </w:rPr>
        <w:t>。</w:t>
      </w:r>
    </w:p>
    <w:p>
      <w:pPr>
        <w:numPr>
          <w:ilvl w:val="0"/>
          <w:numId w:val="6"/>
        </w:num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地点：江苏省徐州市丰县人民中路9号</w:t>
      </w:r>
    </w:p>
    <w:p>
      <w:pPr>
        <w:numPr>
          <w:ilvl w:val="0"/>
          <w:numId w:val="6"/>
        </w:num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方式：现场报名</w:t>
      </w:r>
      <w:r>
        <w:rPr>
          <w:rFonts w:hint="eastAsia" w:ascii="宋体" w:hAnsi="宋体" w:eastAsia="宋体" w:cs="宋体"/>
          <w:sz w:val="24"/>
          <w:lang w:val="en-US" w:eastAsia="zh-CN"/>
        </w:rPr>
        <w:t>或电话咨询报名</w:t>
      </w:r>
      <w:r>
        <w:rPr>
          <w:rFonts w:hint="eastAsia" w:ascii="宋体" w:hAnsi="宋体" w:eastAsia="宋体" w:cs="宋体"/>
          <w:sz w:val="24"/>
        </w:rPr>
        <w:t>（报名需携带资料：营业执照、授权委托书及授权委托人身份证，以上资料复印件加盖投标人公章，华为原厂针对本项目提供的原厂授权函），投标人应在采购文件提供的时间内报名并获取招标文件，联系人；钱慧鑫：0</w:t>
      </w:r>
      <w:r>
        <w:rPr>
          <w:rFonts w:ascii="宋体" w:hAnsi="宋体" w:eastAsia="宋体" w:cs="宋体"/>
          <w:sz w:val="24"/>
        </w:rPr>
        <w:t>516-89213812</w:t>
      </w:r>
      <w:r>
        <w:rPr>
          <w:rFonts w:hint="eastAsia" w:ascii="宋体" w:hAnsi="宋体" w:eastAsia="宋体" w:cs="宋体"/>
          <w:sz w:val="24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投标文件截止时间、开标时间和地点</w:t>
      </w:r>
    </w:p>
    <w:p>
      <w:pPr>
        <w:spacing w:line="360" w:lineRule="auto"/>
        <w:ind w:left="42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开标时间另行通知</w:t>
      </w:r>
    </w:p>
    <w:p>
      <w:pPr>
        <w:numPr>
          <w:ilvl w:val="0"/>
          <w:numId w:val="7"/>
        </w:numPr>
        <w:spacing w:line="360" w:lineRule="auto"/>
        <w:ind w:left="42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投标文件截止日期：</w:t>
      </w:r>
    </w:p>
    <w:p>
      <w:pPr>
        <w:tabs>
          <w:tab w:val="left" w:pos="312"/>
        </w:tabs>
        <w:spacing w:line="360" w:lineRule="auto"/>
        <w:ind w:left="42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</w:t>
      </w:r>
      <w:r>
        <w:rPr>
          <w:rFonts w:ascii="宋体" w:hAnsi="宋体" w:eastAsia="宋体" w:cs="宋体"/>
          <w:sz w:val="24"/>
        </w:rPr>
        <w:t>023</w:t>
      </w:r>
      <w:r>
        <w:rPr>
          <w:rFonts w:hint="eastAsia" w:ascii="宋体" w:hAnsi="宋体" w:eastAsia="宋体" w:cs="宋体"/>
          <w:sz w:val="24"/>
        </w:rPr>
        <w:t>年9月2</w:t>
      </w:r>
      <w:r>
        <w:rPr>
          <w:rFonts w:hint="eastAsia" w:ascii="宋体" w:hAnsi="宋体" w:eastAsia="宋体" w:cs="宋体"/>
          <w:sz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</w:rPr>
        <w:t>日1</w:t>
      </w:r>
      <w:r>
        <w:rPr>
          <w:rFonts w:ascii="宋体" w:hAnsi="宋体" w:eastAsia="宋体" w:cs="宋体"/>
          <w:sz w:val="24"/>
        </w:rPr>
        <w:t>7</w:t>
      </w:r>
      <w:r>
        <w:rPr>
          <w:rFonts w:hint="eastAsia" w:ascii="宋体" w:hAnsi="宋体" w:eastAsia="宋体" w:cs="宋体"/>
          <w:sz w:val="24"/>
        </w:rPr>
        <w:t>时。逾期收到的投标文件恕不接受。</w:t>
      </w:r>
    </w:p>
    <w:p>
      <w:pPr>
        <w:numPr>
          <w:ilvl w:val="0"/>
          <w:numId w:val="7"/>
        </w:numPr>
        <w:spacing w:line="360" w:lineRule="auto"/>
        <w:ind w:left="42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投标地点：</w:t>
      </w:r>
    </w:p>
    <w:p>
      <w:pPr>
        <w:tabs>
          <w:tab w:val="left" w:pos="312"/>
        </w:tabs>
        <w:spacing w:line="360" w:lineRule="auto"/>
        <w:ind w:left="42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江苏省徐州市丰县人民中路9号</w:t>
      </w:r>
    </w:p>
    <w:p>
      <w:pPr>
        <w:numPr>
          <w:ilvl w:val="0"/>
          <w:numId w:val="3"/>
        </w:numPr>
        <w:spacing w:line="360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评标办法</w:t>
      </w:r>
    </w:p>
    <w:p>
      <w:pPr>
        <w:spacing w:line="360" w:lineRule="auto"/>
        <w:ind w:left="42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综合评标。投标人不足三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家</w:t>
      </w:r>
      <w:bookmarkStart w:id="10" w:name="_GoBack"/>
      <w:bookmarkEnd w:id="10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时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改为磋商或单一来源谈判。请于投标文件截止日期前将投标文件正本1份、副本2份，密封加盖公章后邮寄到上述地址。（注：本次招标按照综合评分法进行评标，我方组织招标委员会的相关人员组成评标小组进行评标）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spacing w:line="360" w:lineRule="auto"/>
        <w:ind w:firstLine="561" w:firstLineChars="200"/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附件：江苏丰县农村商业银行股份有限公司监控大数据网络改造采购项目</w:t>
      </w:r>
    </w:p>
    <w:p>
      <w:pPr>
        <w:pStyle w:val="2"/>
        <w:numPr>
          <w:ilvl w:val="0"/>
          <w:numId w:val="2"/>
        </w:numPr>
      </w:pPr>
      <w:bookmarkStart w:id="0" w:name="_Toc24540"/>
      <w:r>
        <w:rPr>
          <w:rFonts w:hint="eastAsia" w:ascii="宋体" w:hAnsi="宋体" w:eastAsia="宋体"/>
          <w:sz w:val="36"/>
          <w:szCs w:val="16"/>
        </w:rPr>
        <w:t>项目背景</w:t>
      </w:r>
      <w:bookmarkEnd w:id="0"/>
    </w:p>
    <w:p>
      <w:pPr>
        <w:spacing w:line="360" w:lineRule="auto"/>
        <w:ind w:firstLine="482"/>
      </w:pPr>
      <w:r>
        <w:t>随</w:t>
      </w:r>
      <w:r>
        <w:rPr>
          <w:rFonts w:hint="eastAsia"/>
        </w:rPr>
        <w:t>着江苏丰县农村商业银行科技化进程的日益完善，为了更好的更高效可靠的为业务生产服务，同时保障云平台的使用需求，以及其它预期的新系统、新业务的上线，需要对现有的办公大楼网络及安全进行升级改造，以建成适应业务、办公的高性能网络系统。</w:t>
      </w:r>
    </w:p>
    <w:p>
      <w:pPr>
        <w:spacing w:line="360" w:lineRule="auto"/>
        <w:ind w:firstLine="482"/>
      </w:pPr>
    </w:p>
    <w:p>
      <w:pPr>
        <w:pStyle w:val="2"/>
        <w:numPr>
          <w:ilvl w:val="0"/>
          <w:numId w:val="2"/>
        </w:numPr>
        <w:rPr>
          <w:rFonts w:ascii="宋体" w:hAnsi="宋体" w:eastAsia="宋体"/>
          <w:sz w:val="36"/>
          <w:szCs w:val="16"/>
        </w:rPr>
      </w:pPr>
      <w:bookmarkStart w:id="1" w:name="_Toc19576"/>
      <w:r>
        <w:rPr>
          <w:rFonts w:ascii="宋体" w:hAnsi="宋体" w:eastAsia="宋体"/>
          <w:sz w:val="36"/>
          <w:szCs w:val="16"/>
        </w:rPr>
        <w:t>需求分析</w:t>
      </w:r>
      <w:bookmarkEnd w:id="1"/>
    </w:p>
    <w:p>
      <w:pPr>
        <w:spacing w:line="360" w:lineRule="auto"/>
        <w:ind w:firstLine="480"/>
      </w:pPr>
      <w:bookmarkStart w:id="2" w:name="_Toc49089201"/>
      <w:r>
        <w:rPr>
          <w:rFonts w:hint="eastAsia"/>
        </w:rPr>
        <w:t>本次项目内</w:t>
      </w:r>
      <w:r>
        <w:rPr>
          <w:rFonts w:hint="eastAsia"/>
          <w:color w:val="000000"/>
        </w:rPr>
        <w:t>容包括丰县农商行办公大楼网络设</w:t>
      </w:r>
      <w:r>
        <w:rPr>
          <w:rFonts w:hint="eastAsia"/>
        </w:rPr>
        <w:t>备的采购，安装，调试及服务等，具体项目需求如下：</w:t>
      </w:r>
    </w:p>
    <w:p>
      <w:pPr>
        <w:numPr>
          <w:ilvl w:val="0"/>
          <w:numId w:val="8"/>
        </w:numPr>
        <w:adjustRightInd w:val="0"/>
        <w:snapToGrid w:val="0"/>
        <w:spacing w:line="360" w:lineRule="auto"/>
        <w:ind w:firstLine="420" w:firstLineChars="200"/>
        <w:rPr>
          <w:rFonts w:asciiTheme="minorEastAsia" w:hAnsiTheme="minorEastAsia"/>
          <w:bCs/>
        </w:rPr>
      </w:pPr>
      <w:r>
        <w:rPr>
          <w:rFonts w:hint="eastAsia" w:asciiTheme="minorEastAsia" w:hAnsiTheme="minorEastAsia"/>
          <w:bCs/>
        </w:rPr>
        <w:t>采购楼层汇聚设备及楼层接入设备，</w:t>
      </w:r>
      <w:r>
        <w:rPr>
          <w:rFonts w:hint="eastAsia"/>
        </w:rPr>
        <w:t>以建成适应业务、办公的安全数据中心系统。</w:t>
      </w:r>
    </w:p>
    <w:p>
      <w:pPr>
        <w:numPr>
          <w:ilvl w:val="0"/>
          <w:numId w:val="9"/>
        </w:numPr>
        <w:spacing w:line="360" w:lineRule="auto"/>
        <w:ind w:left="420" w:leftChars="200" w:firstLine="0"/>
      </w:pPr>
      <w:r>
        <w:rPr>
          <w:rFonts w:hint="eastAsia"/>
        </w:rPr>
        <w:t>办公大楼网络规划拓扑如下：</w:t>
      </w:r>
    </w:p>
    <w:p>
      <w:pPr>
        <w:pStyle w:val="4"/>
        <w:spacing w:line="360" w:lineRule="auto"/>
        <w:ind w:left="0" w:leftChars="0"/>
        <w:jc w:val="left"/>
        <w:rPr>
          <w:rFonts w:ascii="宋体" w:hAnsi="宋体" w:cs="宋体"/>
          <w:sz w:val="24"/>
          <w:szCs w:val="24"/>
        </w:rPr>
      </w:pPr>
      <w:r>
        <w:drawing>
          <wp:inline distT="0" distB="0" distL="114300" distR="114300">
            <wp:extent cx="4866005" cy="3042285"/>
            <wp:effectExtent l="0" t="0" r="2540" b="1905"/>
            <wp:docPr id="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6005" cy="304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2"/>
        </w:numPr>
        <w:rPr>
          <w:rFonts w:ascii="宋体" w:hAnsi="宋体" w:eastAsia="宋体"/>
          <w:sz w:val="36"/>
          <w:szCs w:val="16"/>
        </w:rPr>
      </w:pPr>
      <w:bookmarkStart w:id="3" w:name="_Toc32248"/>
      <w:r>
        <w:rPr>
          <w:rFonts w:hint="eastAsia" w:ascii="宋体" w:hAnsi="宋体" w:eastAsia="宋体"/>
          <w:sz w:val="36"/>
          <w:szCs w:val="16"/>
        </w:rPr>
        <w:t>项目目标</w:t>
      </w:r>
      <w:bookmarkEnd w:id="2"/>
      <w:bookmarkEnd w:id="3"/>
    </w:p>
    <w:p>
      <w:pPr>
        <w:spacing w:line="360" w:lineRule="auto"/>
        <w:ind w:firstLine="420" w:firstLineChars="200"/>
      </w:pPr>
      <w:r>
        <w:rPr>
          <w:rFonts w:hint="eastAsia"/>
        </w:rPr>
        <w:t>本次项目主要实现以下几个项目目标：</w:t>
      </w:r>
    </w:p>
    <w:p>
      <w:pPr>
        <w:spacing w:line="360" w:lineRule="auto"/>
        <w:ind w:left="210" w:leftChars="100" w:firstLine="525" w:firstLineChars="250"/>
        <w:rPr>
          <w:rFonts w:asciiTheme="minorEastAsia" w:hAnsiTheme="minorEastAsia"/>
          <w:color w:val="000000"/>
        </w:rPr>
      </w:pPr>
      <w:bookmarkStart w:id="4" w:name="_Toc49089202"/>
      <w:r>
        <w:rPr>
          <w:rFonts w:hint="eastAsia" w:asciiTheme="minorEastAsia" w:hAnsiTheme="minorEastAsia"/>
          <w:color w:val="000000"/>
        </w:rPr>
        <w:t>1、严格按照</w:t>
      </w:r>
      <w:r>
        <w:rPr>
          <w:rFonts w:asciiTheme="minorEastAsia" w:hAnsiTheme="minorEastAsia"/>
          <w:color w:val="000000"/>
        </w:rPr>
        <w:t>《</w:t>
      </w:r>
      <w:r>
        <w:rPr>
          <w:rFonts w:hint="eastAsia" w:asciiTheme="minorEastAsia" w:hAnsiTheme="minorEastAsia"/>
          <w:color w:val="000000"/>
        </w:rPr>
        <w:t>江苏省农村信用社信息科技工作标准指标</w:t>
      </w:r>
      <w:r>
        <w:rPr>
          <w:rFonts w:asciiTheme="minorEastAsia" w:hAnsiTheme="minorEastAsia"/>
          <w:color w:val="000000"/>
        </w:rPr>
        <w:t>》</w:t>
      </w:r>
      <w:r>
        <w:rPr>
          <w:rFonts w:hint="eastAsia" w:asciiTheme="minorEastAsia" w:hAnsiTheme="minorEastAsia"/>
          <w:color w:val="000000"/>
        </w:rPr>
        <w:t>对丰县农商行办公大楼网络区域进行改造。</w:t>
      </w:r>
    </w:p>
    <w:p>
      <w:pPr>
        <w:spacing w:line="360" w:lineRule="auto"/>
        <w:ind w:left="210" w:leftChars="100" w:firstLine="525" w:firstLineChars="250"/>
        <w:rPr>
          <w:rFonts w:asciiTheme="minorEastAsia" w:hAnsiTheme="minorEastAsia"/>
          <w:color w:val="000000"/>
        </w:rPr>
      </w:pPr>
      <w:r>
        <w:rPr>
          <w:rFonts w:hint="eastAsia" w:asciiTheme="minorEastAsia" w:hAnsiTheme="minorEastAsia"/>
          <w:color w:val="000000"/>
        </w:rPr>
        <w:t>2、关键节点需要满足架构冗余、性能冗余；</w:t>
      </w:r>
    </w:p>
    <w:p>
      <w:pPr>
        <w:spacing w:line="360" w:lineRule="auto"/>
        <w:ind w:left="210" w:leftChars="100" w:firstLine="525" w:firstLineChars="250"/>
        <w:rPr>
          <w:rFonts w:asciiTheme="minorEastAsia" w:hAnsiTheme="minorEastAsia"/>
          <w:color w:val="000000"/>
        </w:rPr>
      </w:pPr>
      <w:r>
        <w:rPr>
          <w:rFonts w:hint="eastAsia" w:asciiTheme="minorEastAsia" w:hAnsiTheme="minorEastAsia"/>
          <w:color w:val="000000"/>
        </w:rPr>
        <w:t>3、新采购设备的性能要满足未来5年的发展需求；</w:t>
      </w:r>
    </w:p>
    <w:p>
      <w:pPr>
        <w:pStyle w:val="2"/>
        <w:numPr>
          <w:ilvl w:val="0"/>
          <w:numId w:val="2"/>
        </w:numPr>
        <w:rPr>
          <w:rFonts w:ascii="宋体" w:hAnsi="宋体" w:eastAsia="宋体"/>
          <w:sz w:val="36"/>
          <w:szCs w:val="16"/>
        </w:rPr>
      </w:pPr>
      <w:bookmarkStart w:id="5" w:name="_Toc19373"/>
      <w:r>
        <w:rPr>
          <w:rFonts w:hint="eastAsia" w:ascii="宋体" w:hAnsi="宋体" w:eastAsia="宋体"/>
          <w:sz w:val="36"/>
          <w:szCs w:val="16"/>
        </w:rPr>
        <w:t>方案设计</w:t>
      </w:r>
      <w:bookmarkEnd w:id="4"/>
      <w:bookmarkEnd w:id="5"/>
    </w:p>
    <w:p>
      <w:pPr>
        <w:pStyle w:val="7"/>
      </w:pPr>
      <w:bookmarkStart w:id="6" w:name="_Toc9060"/>
      <w:bookmarkStart w:id="7" w:name="_Toc136356897"/>
      <w:r>
        <w:t>楼层接入区</w:t>
      </w:r>
      <w:bookmarkEnd w:id="6"/>
      <w:bookmarkEnd w:id="7"/>
    </w:p>
    <w:p>
      <w:pPr>
        <w:adjustRightInd w:val="0"/>
        <w:snapToGrid w:val="0"/>
        <w:spacing w:line="360" w:lineRule="auto"/>
        <w:ind w:firstLine="420" w:firstLineChars="200"/>
        <w:rPr>
          <w:rFonts w:asciiTheme="minorEastAsia" w:hAnsiTheme="minorEastAsia"/>
          <w:bCs/>
        </w:rPr>
      </w:pPr>
      <w:r>
        <w:rPr>
          <w:rFonts w:hint="eastAsia" w:asciiTheme="minorEastAsia" w:hAnsiTheme="minorEastAsia"/>
          <w:bCs/>
        </w:rPr>
        <w:t>参照省联社网络系统规范，楼层接入区设备：包括楼层接入汇聚交换机和楼层交换机。主要用于与办公大楼内的有关生产用机连接，汇聚后接入核心网络交换机。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Theme="minorEastAsia" w:hAnsiTheme="minorEastAsia"/>
          <w:bCs/>
        </w:rPr>
      </w:pPr>
      <w:r>
        <w:rPr>
          <w:rFonts w:hint="eastAsia" w:asciiTheme="minorEastAsia" w:hAnsiTheme="minorEastAsia"/>
          <w:bCs/>
        </w:rPr>
        <w:t>为保证可靠性，内网楼层汇聚采用双机设计，配置两台高端智能路由交换机，作为大楼接入功能区的业务控制层，提供三层交换、接入控制等功能。每台汇聚交换机配置双主控、冗余电源、</w:t>
      </w:r>
      <w:r>
        <w:rPr>
          <w:rFonts w:asciiTheme="minorEastAsia" w:hAnsiTheme="minorEastAsia"/>
          <w:bCs/>
        </w:rPr>
        <w:t>48个1G光口、24个10G光口。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Theme="minorEastAsia" w:hAnsiTheme="minorEastAsia"/>
          <w:bCs/>
        </w:rPr>
      </w:pPr>
      <w:r>
        <w:rPr>
          <w:rFonts w:hint="eastAsia" w:asciiTheme="minorEastAsia" w:hAnsiTheme="minorEastAsia"/>
          <w:bCs/>
        </w:rPr>
        <w:t>下行通过千兆光纤与内网楼层接入交换机互联，提供用户终端高速接入。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Theme="minorEastAsia" w:hAnsiTheme="minorEastAsia"/>
          <w:bCs/>
        </w:rPr>
      </w:pPr>
      <w:r>
        <w:rPr>
          <w:rFonts w:hint="eastAsia" w:asciiTheme="minorEastAsia" w:hAnsiTheme="minorEastAsia"/>
          <w:bCs/>
        </w:rPr>
        <w:t>改造后拓扑图如下：</w:t>
      </w:r>
    </w:p>
    <w:p>
      <w:pPr>
        <w:adjustRightInd w:val="0"/>
        <w:snapToGrid w:val="0"/>
        <w:spacing w:line="360" w:lineRule="auto"/>
        <w:ind w:firstLine="420" w:firstLineChars="200"/>
      </w:pPr>
      <w:r>
        <w:drawing>
          <wp:inline distT="0" distB="0" distL="114300" distR="114300">
            <wp:extent cx="5459095" cy="3564890"/>
            <wp:effectExtent l="0" t="0" r="3175" b="825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9095" cy="356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2"/>
        <w:numPr>
          <w:ilvl w:val="0"/>
          <w:numId w:val="2"/>
        </w:numPr>
        <w:rPr>
          <w:rFonts w:ascii="宋体" w:hAnsi="宋体" w:eastAsia="宋体"/>
          <w:sz w:val="36"/>
          <w:szCs w:val="16"/>
        </w:rPr>
      </w:pPr>
      <w:bookmarkStart w:id="8" w:name="_Toc108622611"/>
      <w:bookmarkStart w:id="9" w:name="_Toc28869"/>
      <w:r>
        <w:rPr>
          <w:rFonts w:hint="eastAsia" w:ascii="宋体" w:hAnsi="宋体" w:eastAsia="宋体"/>
          <w:sz w:val="36"/>
          <w:szCs w:val="16"/>
        </w:rPr>
        <w:t>设备清单</w:t>
      </w:r>
      <w:bookmarkEnd w:id="8"/>
      <w:bookmarkEnd w:id="9"/>
    </w:p>
    <w:tbl>
      <w:tblPr>
        <w:tblStyle w:val="5"/>
        <w:tblpPr w:leftFromText="180" w:rightFromText="180" w:vertAnchor="page" w:horzAnchor="page" w:tblpXSpec="center" w:tblpY="2778"/>
        <w:tblOverlap w:val="never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839"/>
        <w:gridCol w:w="633"/>
        <w:gridCol w:w="6044"/>
        <w:gridCol w:w="511"/>
      </w:tblGrid>
      <w:tr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设备名称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推荐品牌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设备性能描述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数量</w:t>
            </w:r>
          </w:p>
        </w:tc>
      </w:tr>
      <w:tr>
        <w:trPr>
          <w:trHeight w:val="330" w:hRule="atLeast"/>
          <w:jc w:val="center"/>
        </w:trPr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内网设备清单</w:t>
            </w:r>
          </w:p>
        </w:tc>
      </w:tr>
      <w:tr>
        <w:trPr>
          <w:trHeight w:val="330" w:hRule="atLeast"/>
          <w:jc w:val="center"/>
        </w:trPr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楼层汇聚交换机</w:t>
            </w:r>
          </w:p>
        </w:tc>
      </w:tr>
      <w:tr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楼层汇聚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华为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配</w:t>
            </w:r>
            <w:r>
              <w:rPr>
                <w:rFonts w:hint="eastAsia" w:ascii="Times New Roman" w:hAnsi="Times New Roman" w:eastAsia="宋体" w:cs="Times New Roman"/>
                <w:color w:val="000000"/>
              </w:rPr>
              <w:t>置双控、冗余电源，24端口万兆以太网光接口和24端口千兆以太网光接口板，48端口十兆/百兆/千兆以太网电接口板，配置集群板卡，配置堆叠线缆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</w:tr>
      <w:tr>
        <w:trPr>
          <w:trHeight w:val="330" w:hRule="atLeast"/>
          <w:jc w:val="center"/>
        </w:trPr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楼层接入交换机</w:t>
            </w:r>
          </w:p>
        </w:tc>
      </w:tr>
      <w:tr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楼层接入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华为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48个10/100/1000Base-T以太网端口，4个千兆SFP，交流供电.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</w:tr>
      <w:tr>
        <w:trPr>
          <w:trHeight w:val="330" w:hRule="atLeast"/>
          <w:jc w:val="center"/>
        </w:trPr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模块</w:t>
            </w:r>
          </w:p>
        </w:tc>
      </w:tr>
      <w:tr>
        <w:trPr>
          <w:trHeight w:val="6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千兆单模光模块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华为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光模块-eSFP-GE-单模模块(1310nm,10km,LC)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32</w:t>
            </w:r>
          </w:p>
        </w:tc>
      </w:tr>
      <w:tr>
        <w:trPr>
          <w:trHeight w:val="6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万兆多模光模块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华为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10GBase-SR光模块-SFP+-10G-多模模块(850nm,0.3km,LC)-集合包装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</w:tr>
    </w:tbl>
    <w:p/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12E195"/>
    <w:multiLevelType w:val="singleLevel"/>
    <w:tmpl w:val="8C12E1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2EB672A"/>
    <w:multiLevelType w:val="singleLevel"/>
    <w:tmpl w:val="12EB672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3F875B56"/>
    <w:multiLevelType w:val="multilevel"/>
    <w:tmpl w:val="3F875B56"/>
    <w:lvl w:ilvl="0" w:tentative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3">
    <w:nsid w:val="4BE01176"/>
    <w:multiLevelType w:val="multilevel"/>
    <w:tmpl w:val="4BE01176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bullet"/>
      <w:pStyle w:val="3"/>
      <w:lvlText w:val=""/>
      <w:lvlJc w:val="left"/>
      <w:pPr>
        <w:ind w:left="5158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>
    <w:nsid w:val="51340E4E"/>
    <w:multiLevelType w:val="multilevel"/>
    <w:tmpl w:val="51340E4E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pStyle w:val="7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4D7EA2D"/>
    <w:multiLevelType w:val="singleLevel"/>
    <w:tmpl w:val="54D7EA2D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6">
    <w:nsid w:val="58188C16"/>
    <w:multiLevelType w:val="singleLevel"/>
    <w:tmpl w:val="58188C1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66ABD6CD"/>
    <w:multiLevelType w:val="singleLevel"/>
    <w:tmpl w:val="66ABD6CD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8">
    <w:nsid w:val="757F5ACE"/>
    <w:multiLevelType w:val="multilevel"/>
    <w:tmpl w:val="757F5ACE"/>
    <w:lvl w:ilvl="0" w:tentative="0">
      <w:start w:val="1"/>
      <w:numFmt w:val="bullet"/>
      <w:lvlText w:val="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7"/>
  </w:num>
  <w:num w:numId="5">
    <w:abstractNumId w:val="2"/>
  </w:num>
  <w:num w:numId="6">
    <w:abstractNumId w:val="6"/>
  </w:num>
  <w:num w:numId="7">
    <w:abstractNumId w:val="5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2E6E6518"/>
    <w:rsid w:val="00164494"/>
    <w:rsid w:val="00211C27"/>
    <w:rsid w:val="006832CA"/>
    <w:rsid w:val="0075024A"/>
    <w:rsid w:val="00BB3A05"/>
    <w:rsid w:val="00EE5875"/>
    <w:rsid w:val="00F059E8"/>
    <w:rsid w:val="07F43A9E"/>
    <w:rsid w:val="0DC539CC"/>
    <w:rsid w:val="1CEA7FA2"/>
    <w:rsid w:val="257D2ECD"/>
    <w:rsid w:val="2BB84C5F"/>
    <w:rsid w:val="2C016920"/>
    <w:rsid w:val="2D0619FA"/>
    <w:rsid w:val="2E6E6518"/>
    <w:rsid w:val="2F011579"/>
    <w:rsid w:val="3E5E3417"/>
    <w:rsid w:val="474219BA"/>
    <w:rsid w:val="4A635111"/>
    <w:rsid w:val="518552C3"/>
    <w:rsid w:val="58B8154B"/>
    <w:rsid w:val="5C5FF2C7"/>
    <w:rsid w:val="6051475F"/>
    <w:rsid w:val="628122E7"/>
    <w:rsid w:val="776F018B"/>
    <w:rsid w:val="7D6A5EA2"/>
    <w:rsid w:val="7E81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qFormat/>
    <w:uiPriority w:val="9"/>
    <w:pPr>
      <w:keepNext/>
      <w:keepLines/>
      <w:numPr>
        <w:ilvl w:val="2"/>
        <w:numId w:val="1"/>
      </w:numPr>
      <w:spacing w:before="100" w:beforeAutospacing="1" w:after="100" w:afterAutospacing="1" w:line="360" w:lineRule="auto"/>
      <w:outlineLvl w:val="2"/>
    </w:pPr>
    <w:rPr>
      <w:rFonts w:ascii="Arial" w:hAnsi="Arial" w:cs="Times New Roman" w:eastAsiaTheme="majorEastAsia"/>
      <w:b/>
      <w:sz w:val="32"/>
      <w:szCs w:val="20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4"/>
    <w:basedOn w:val="1"/>
    <w:next w:val="1"/>
    <w:unhideWhenUsed/>
    <w:qFormat/>
    <w:uiPriority w:val="99"/>
    <w:pPr>
      <w:ind w:left="1260" w:leftChars="600"/>
    </w:pPr>
    <w:rPr>
      <w:rFonts w:ascii="Times New Roman" w:hAnsi="Times New Roman" w:cs="Times New Roman"/>
      <w:szCs w:val="22"/>
    </w:rPr>
  </w:style>
  <w:style w:type="paragraph" w:customStyle="1" w:styleId="7">
    <w:name w:val="SANGFOR_3_标题3"/>
    <w:basedOn w:val="3"/>
    <w:next w:val="8"/>
    <w:qFormat/>
    <w:uiPriority w:val="0"/>
    <w:pPr>
      <w:numPr>
        <w:numId w:val="2"/>
      </w:numPr>
      <w:spacing w:before="156" w:beforeLines="50" w:beforeAutospacing="0" w:after="156" w:afterLines="50" w:afterAutospacing="0" w:line="240" w:lineRule="auto"/>
    </w:pPr>
    <w:rPr>
      <w:rFonts w:ascii="Times New Roman" w:hAnsi="Times New Roman" w:eastAsia="宋体"/>
      <w:sz w:val="28"/>
      <w:szCs w:val="28"/>
    </w:rPr>
  </w:style>
  <w:style w:type="paragraph" w:customStyle="1" w:styleId="8">
    <w:name w:val="SANGFOR_6_正文"/>
    <w:basedOn w:val="1"/>
    <w:qFormat/>
    <w:uiPriority w:val="0"/>
    <w:pPr>
      <w:spacing w:line="360" w:lineRule="auto"/>
      <w:ind w:right="210" w:firstLine="420"/>
    </w:pPr>
    <w:rPr>
      <w:rFonts w:ascii="Times New Roman" w:hAnsi="Times New Roman" w:cs="Times New Roman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285</Words>
  <Characters>1628</Characters>
  <Lines>13</Lines>
  <Paragraphs>3</Paragraphs>
  <TotalTime>43</TotalTime>
  <ScaleCrop>false</ScaleCrop>
  <LinksUpToDate>false</LinksUpToDate>
  <CharactersWithSpaces>1910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2023-07-06T19:39:00Z</dcterms:created>
  <dc:creator>MIRACLE11</dc:creator>
  <cp:lastModifiedBy>海洋</cp:lastModifiedBy>
  <dcterms:modified xsi:type="dcterms:W3CDTF">2023-09-06T16:07:32Z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077003F52C6BE7946532F864C3A7F55B_43</vt:lpwstr>
  </property>
</Properties>
</file>